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9C" w:rsidRPr="00474E6F" w:rsidRDefault="00474E6F" w:rsidP="0008069C">
      <w:pPr>
        <w:jc w:val="center"/>
        <w:rPr>
          <w:rFonts w:ascii="Arial" w:hAnsi="Arial" w:cs="Arial"/>
          <w:b/>
          <w:sz w:val="18"/>
          <w:szCs w:val="18"/>
        </w:rPr>
      </w:pPr>
      <w:r w:rsidRPr="00474E6F">
        <w:rPr>
          <w:rFonts w:ascii="Arial" w:hAnsi="Arial" w:cs="Arial"/>
          <w:b/>
          <w:sz w:val="18"/>
          <w:szCs w:val="18"/>
        </w:rPr>
        <w:t xml:space="preserve">SBGE </w:t>
      </w:r>
      <w:r w:rsidR="0008069C" w:rsidRPr="00474E6F">
        <w:rPr>
          <w:rFonts w:ascii="Arial" w:hAnsi="Arial" w:cs="Arial"/>
          <w:b/>
          <w:sz w:val="18"/>
          <w:szCs w:val="18"/>
        </w:rPr>
        <w:t xml:space="preserve">Graduate </w:t>
      </w:r>
      <w:r w:rsidR="0027359B" w:rsidRPr="00474E6F">
        <w:rPr>
          <w:rFonts w:ascii="Arial" w:hAnsi="Arial" w:cs="Arial"/>
          <w:b/>
          <w:sz w:val="18"/>
          <w:szCs w:val="18"/>
        </w:rPr>
        <w:t xml:space="preserve">Applied Problem Solving/Contextualizing </w:t>
      </w:r>
      <w:r w:rsidR="0008069C" w:rsidRPr="00474E6F">
        <w:rPr>
          <w:rFonts w:ascii="Arial" w:hAnsi="Arial" w:cs="Arial"/>
          <w:b/>
          <w:sz w:val="18"/>
          <w:szCs w:val="18"/>
        </w:rPr>
        <w:t>Rubric</w:t>
      </w:r>
    </w:p>
    <w:p w:rsidR="00DD0767" w:rsidRPr="00474E6F" w:rsidRDefault="00DD0767" w:rsidP="0008069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1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700"/>
        <w:gridCol w:w="2520"/>
        <w:gridCol w:w="3132"/>
        <w:gridCol w:w="720"/>
      </w:tblGrid>
      <w:tr w:rsidR="007B315E" w:rsidRPr="00474E6F" w:rsidTr="00D65468">
        <w:tc>
          <w:tcPr>
            <w:tcW w:w="2070" w:type="dxa"/>
          </w:tcPr>
          <w:p w:rsidR="007B315E" w:rsidRPr="00474E6F" w:rsidRDefault="007B315E" w:rsidP="007B31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>TRAIT</w:t>
            </w:r>
          </w:p>
        </w:tc>
        <w:tc>
          <w:tcPr>
            <w:tcW w:w="2700" w:type="dxa"/>
          </w:tcPr>
          <w:p w:rsidR="007B315E" w:rsidRPr="00474E6F" w:rsidRDefault="007B315E" w:rsidP="007B3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>Unacceptable (</w:t>
            </w:r>
            <w:r w:rsidR="00D65468" w:rsidRPr="00474E6F">
              <w:rPr>
                <w:rFonts w:ascii="Arial" w:hAnsi="Arial" w:cs="Arial"/>
                <w:b/>
                <w:sz w:val="18"/>
                <w:szCs w:val="18"/>
              </w:rPr>
              <w:t>0-</w:t>
            </w:r>
            <w:r w:rsidRPr="00474E6F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2520" w:type="dxa"/>
          </w:tcPr>
          <w:p w:rsidR="007B315E" w:rsidRPr="00474E6F" w:rsidRDefault="007B315E" w:rsidP="007B3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>Acceptable (2</w:t>
            </w:r>
            <w:r w:rsidR="00D65468" w:rsidRPr="00474E6F">
              <w:rPr>
                <w:rFonts w:ascii="Arial" w:hAnsi="Arial" w:cs="Arial"/>
                <w:b/>
                <w:sz w:val="18"/>
                <w:szCs w:val="18"/>
              </w:rPr>
              <w:t>-3</w:t>
            </w:r>
            <w:r w:rsidRPr="00474E6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132" w:type="dxa"/>
          </w:tcPr>
          <w:p w:rsidR="007B315E" w:rsidRPr="00474E6F" w:rsidRDefault="007B315E" w:rsidP="00D654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>Exemplary (</w:t>
            </w:r>
            <w:r w:rsidR="00D65468" w:rsidRPr="00474E6F">
              <w:rPr>
                <w:rFonts w:ascii="Arial" w:hAnsi="Arial" w:cs="Arial"/>
                <w:b/>
                <w:sz w:val="18"/>
                <w:szCs w:val="18"/>
              </w:rPr>
              <w:t>4-5</w:t>
            </w:r>
            <w:r w:rsidRPr="00474E6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7B315E" w:rsidRPr="00474E6F" w:rsidRDefault="007B315E" w:rsidP="007B31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</w:tr>
      <w:tr w:rsidR="004217F3" w:rsidRPr="00474E6F" w:rsidTr="00D65468">
        <w:tc>
          <w:tcPr>
            <w:tcW w:w="2070" w:type="dxa"/>
          </w:tcPr>
          <w:p w:rsidR="004217F3" w:rsidRPr="00474E6F" w:rsidRDefault="004217F3" w:rsidP="007B31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 xml:space="preserve">Issue Identification </w:t>
            </w:r>
          </w:p>
        </w:tc>
        <w:tc>
          <w:tcPr>
            <w:tcW w:w="2700" w:type="dxa"/>
          </w:tcPr>
          <w:p w:rsidR="004217F3" w:rsidRPr="00474E6F" w:rsidRDefault="004217F3" w:rsidP="007B31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Fails to identify a problem issue or identifies an irrelevant issue whose resolution would not constructively contribute to the situation.</w:t>
            </w:r>
          </w:p>
        </w:tc>
        <w:tc>
          <w:tcPr>
            <w:tcW w:w="2520" w:type="dxa"/>
          </w:tcPr>
          <w:p w:rsidR="004217F3" w:rsidRPr="00474E6F" w:rsidRDefault="001F1C1D" w:rsidP="001F1C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Hypothesizes/i</w:t>
            </w:r>
            <w:r w:rsidR="004217F3" w:rsidRPr="00474E6F">
              <w:rPr>
                <w:rFonts w:ascii="Arial" w:hAnsi="Arial" w:cs="Arial"/>
                <w:sz w:val="18"/>
                <w:szCs w:val="18"/>
              </w:rPr>
              <w:t xml:space="preserve">dentifies a tractable problem issue whose resolution would contribute constructively to the situation. </w:t>
            </w:r>
          </w:p>
        </w:tc>
        <w:tc>
          <w:tcPr>
            <w:tcW w:w="3132" w:type="dxa"/>
          </w:tcPr>
          <w:p w:rsidR="004217F3" w:rsidRPr="00474E6F" w:rsidRDefault="004217F3" w:rsidP="004217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 xml:space="preserve">Clearly </w:t>
            </w:r>
            <w:r w:rsidR="001F1C1D" w:rsidRPr="00474E6F">
              <w:rPr>
                <w:rFonts w:ascii="Arial" w:hAnsi="Arial" w:cs="Arial"/>
                <w:sz w:val="18"/>
                <w:szCs w:val="18"/>
              </w:rPr>
              <w:t>hypothesizes/</w:t>
            </w:r>
            <w:r w:rsidRPr="00474E6F">
              <w:rPr>
                <w:rFonts w:ascii="Arial" w:hAnsi="Arial" w:cs="Arial"/>
                <w:sz w:val="18"/>
                <w:szCs w:val="18"/>
              </w:rPr>
              <w:t>identifies the most important root problem issue showing creativity in articulating its resolution as a goal worth pursuing.</w:t>
            </w:r>
          </w:p>
        </w:tc>
        <w:tc>
          <w:tcPr>
            <w:tcW w:w="720" w:type="dxa"/>
          </w:tcPr>
          <w:p w:rsidR="004217F3" w:rsidRPr="00474E6F" w:rsidRDefault="004217F3" w:rsidP="007B31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15E" w:rsidRPr="00474E6F" w:rsidTr="00D65468">
        <w:tc>
          <w:tcPr>
            <w:tcW w:w="2070" w:type="dxa"/>
          </w:tcPr>
          <w:p w:rsidR="007B315E" w:rsidRPr="00474E6F" w:rsidRDefault="007B315E" w:rsidP="007B31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>Analysis</w:t>
            </w:r>
          </w:p>
        </w:tc>
        <w:tc>
          <w:tcPr>
            <w:tcW w:w="2700" w:type="dxa"/>
          </w:tcPr>
          <w:p w:rsidR="001F1C1D" w:rsidRPr="00474E6F" w:rsidRDefault="007B315E" w:rsidP="001F1C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Ignor</w:t>
            </w:r>
            <w:r w:rsidR="008874F5" w:rsidRPr="00474E6F">
              <w:rPr>
                <w:rFonts w:ascii="Arial" w:hAnsi="Arial" w:cs="Arial"/>
                <w:sz w:val="18"/>
                <w:szCs w:val="18"/>
              </w:rPr>
              <w:t>es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 r</w:t>
            </w:r>
            <w:bookmarkStart w:id="0" w:name="_GoBack"/>
            <w:bookmarkEnd w:id="0"/>
            <w:r w:rsidRPr="00474E6F">
              <w:rPr>
                <w:rFonts w:ascii="Arial" w:hAnsi="Arial" w:cs="Arial"/>
                <w:sz w:val="18"/>
                <w:szCs w:val="18"/>
              </w:rPr>
              <w:t>elevant information. Use</w:t>
            </w:r>
            <w:r w:rsidR="008874F5" w:rsidRPr="00474E6F">
              <w:rPr>
                <w:rFonts w:ascii="Arial" w:hAnsi="Arial" w:cs="Arial"/>
                <w:sz w:val="18"/>
                <w:szCs w:val="18"/>
              </w:rPr>
              <w:t>s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 information in an uncritical way failing evaluate its quality and relevance.</w:t>
            </w:r>
            <w:r w:rsidR="008874F5" w:rsidRPr="00474E6F">
              <w:rPr>
                <w:rFonts w:ascii="Arial" w:hAnsi="Arial" w:cs="Arial"/>
                <w:sz w:val="18"/>
                <w:szCs w:val="18"/>
              </w:rPr>
              <w:t xml:space="preserve"> Fails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 to identify meaningful implications for addressing the problem issue.</w:t>
            </w:r>
            <w:r w:rsidR="008874F5" w:rsidRPr="00474E6F">
              <w:rPr>
                <w:rFonts w:ascii="Arial" w:hAnsi="Arial" w:cs="Arial"/>
                <w:sz w:val="18"/>
                <w:szCs w:val="18"/>
              </w:rPr>
              <w:t xml:space="preserve"> Fails to consider technologies that may change the nature of the situation.</w:t>
            </w:r>
            <w:r w:rsidR="001F1C1D" w:rsidRPr="00474E6F">
              <w:rPr>
                <w:rFonts w:ascii="Arial" w:hAnsi="Arial" w:cs="Arial"/>
                <w:sz w:val="18"/>
                <w:szCs w:val="18"/>
              </w:rPr>
              <w:t xml:space="preserve"> Ignores, or uses irrelevant, theoretical faming.</w:t>
            </w:r>
          </w:p>
          <w:p w:rsidR="007B315E" w:rsidRPr="00474E6F" w:rsidRDefault="007B315E" w:rsidP="008874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7B315E" w:rsidRPr="00474E6F" w:rsidRDefault="007B315E" w:rsidP="001F1C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 xml:space="preserve">Critically </w:t>
            </w:r>
            <w:r w:rsidR="001F1C1D" w:rsidRPr="00474E6F">
              <w:rPr>
                <w:rFonts w:ascii="Arial" w:hAnsi="Arial" w:cs="Arial"/>
                <w:sz w:val="18"/>
                <w:szCs w:val="18"/>
              </w:rPr>
              <w:t xml:space="preserve">collects and </w:t>
            </w:r>
            <w:r w:rsidRPr="00474E6F">
              <w:rPr>
                <w:rFonts w:ascii="Arial" w:hAnsi="Arial" w:cs="Arial"/>
                <w:sz w:val="18"/>
                <w:szCs w:val="18"/>
              </w:rPr>
              <w:t>consider</w:t>
            </w:r>
            <w:r w:rsidR="008874F5" w:rsidRPr="00474E6F">
              <w:rPr>
                <w:rFonts w:ascii="Arial" w:hAnsi="Arial" w:cs="Arial"/>
                <w:sz w:val="18"/>
                <w:szCs w:val="18"/>
              </w:rPr>
              <w:t>s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 relevant information and identifie</w:t>
            </w:r>
            <w:r w:rsidR="008874F5" w:rsidRPr="00474E6F">
              <w:rPr>
                <w:rFonts w:ascii="Arial" w:hAnsi="Arial" w:cs="Arial"/>
                <w:sz w:val="18"/>
                <w:szCs w:val="18"/>
              </w:rPr>
              <w:t>s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 meaningful implications for addressing the problem issue</w:t>
            </w:r>
            <w:r w:rsidR="008874F5" w:rsidRPr="00474E6F">
              <w:rPr>
                <w:rFonts w:ascii="Arial" w:hAnsi="Arial" w:cs="Arial"/>
                <w:sz w:val="18"/>
                <w:szCs w:val="18"/>
              </w:rPr>
              <w:t xml:space="preserve">, including technologies </w:t>
            </w:r>
            <w:r w:rsidR="0068010B" w:rsidRPr="00474E6F">
              <w:rPr>
                <w:rFonts w:ascii="Arial" w:hAnsi="Arial" w:cs="Arial"/>
                <w:sz w:val="18"/>
                <w:szCs w:val="18"/>
              </w:rPr>
              <w:t xml:space="preserve">and global issues </w:t>
            </w:r>
            <w:r w:rsidR="008874F5" w:rsidRPr="00474E6F">
              <w:rPr>
                <w:rFonts w:ascii="Arial" w:hAnsi="Arial" w:cs="Arial"/>
                <w:sz w:val="18"/>
                <w:szCs w:val="18"/>
              </w:rPr>
              <w:t>that may change the nature of the situation.</w:t>
            </w:r>
            <w:r w:rsidR="001F1C1D" w:rsidRPr="00474E6F">
              <w:rPr>
                <w:rFonts w:ascii="Arial" w:hAnsi="Arial" w:cs="Arial"/>
                <w:sz w:val="18"/>
                <w:szCs w:val="18"/>
              </w:rPr>
              <w:t xml:space="preserve">  Applies an appropriate theoretical framework.</w:t>
            </w:r>
          </w:p>
        </w:tc>
        <w:tc>
          <w:tcPr>
            <w:tcW w:w="3132" w:type="dxa"/>
          </w:tcPr>
          <w:p w:rsidR="007B315E" w:rsidRPr="00474E6F" w:rsidRDefault="002E461D" w:rsidP="001F1C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Presents a nuanced, multi-perspectival, c</w:t>
            </w:r>
            <w:r w:rsidR="007B315E" w:rsidRPr="00474E6F">
              <w:rPr>
                <w:rFonts w:ascii="Arial" w:hAnsi="Arial" w:cs="Arial"/>
                <w:sz w:val="18"/>
                <w:szCs w:val="18"/>
              </w:rPr>
              <w:t>ritical</w:t>
            </w:r>
            <w:r w:rsidRPr="00474E6F">
              <w:rPr>
                <w:rFonts w:ascii="Arial" w:hAnsi="Arial" w:cs="Arial"/>
                <w:sz w:val="18"/>
                <w:szCs w:val="18"/>
              </w:rPr>
              <w:t>, qualitative and quantitative assessment of</w:t>
            </w:r>
            <w:r w:rsidR="007B315E" w:rsidRPr="00474E6F">
              <w:rPr>
                <w:rFonts w:ascii="Arial" w:hAnsi="Arial" w:cs="Arial"/>
                <w:sz w:val="18"/>
                <w:szCs w:val="18"/>
              </w:rPr>
              <w:t xml:space="preserve"> the value and implications of relevant information</w:t>
            </w:r>
            <w:r w:rsidR="004217F3" w:rsidRPr="00474E6F">
              <w:rPr>
                <w:rFonts w:ascii="Arial" w:hAnsi="Arial" w:cs="Arial"/>
                <w:sz w:val="18"/>
                <w:szCs w:val="18"/>
              </w:rPr>
              <w:t>,</w:t>
            </w:r>
            <w:r w:rsidR="007B315E" w:rsidRPr="00474E6F">
              <w:rPr>
                <w:rFonts w:ascii="Arial" w:hAnsi="Arial" w:cs="Arial"/>
                <w:sz w:val="18"/>
                <w:szCs w:val="18"/>
              </w:rPr>
              <w:t xml:space="preserve"> including </w:t>
            </w:r>
            <w:r w:rsidR="001F1C1D" w:rsidRPr="00474E6F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7B315E" w:rsidRPr="00474E6F">
              <w:rPr>
                <w:rFonts w:ascii="Arial" w:hAnsi="Arial" w:cs="Arial"/>
                <w:sz w:val="18"/>
                <w:szCs w:val="18"/>
              </w:rPr>
              <w:t xml:space="preserve">information acquired from </w:t>
            </w:r>
            <w:r w:rsidR="001F1C1D" w:rsidRPr="00474E6F">
              <w:rPr>
                <w:rFonts w:ascii="Arial" w:hAnsi="Arial" w:cs="Arial"/>
                <w:sz w:val="18"/>
                <w:szCs w:val="18"/>
              </w:rPr>
              <w:t>secondary and primary research</w:t>
            </w:r>
            <w:r w:rsidRPr="00474E6F">
              <w:rPr>
                <w:rFonts w:ascii="Arial" w:hAnsi="Arial" w:cs="Arial"/>
                <w:sz w:val="18"/>
                <w:szCs w:val="18"/>
              </w:rPr>
              <w:t>,</w:t>
            </w:r>
            <w:r w:rsidR="0068010B" w:rsidRPr="00474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17F3" w:rsidRPr="00474E6F">
              <w:rPr>
                <w:rFonts w:ascii="Arial" w:hAnsi="Arial" w:cs="Arial"/>
                <w:sz w:val="18"/>
                <w:szCs w:val="18"/>
              </w:rPr>
              <w:t xml:space="preserve">as well as the roles of 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technologies </w:t>
            </w:r>
            <w:r w:rsidR="0068010B" w:rsidRPr="00474E6F">
              <w:rPr>
                <w:rFonts w:ascii="Arial" w:hAnsi="Arial" w:cs="Arial"/>
                <w:sz w:val="18"/>
                <w:szCs w:val="18"/>
              </w:rPr>
              <w:t xml:space="preserve">and global issues </w:t>
            </w:r>
            <w:r w:rsidRPr="00474E6F">
              <w:rPr>
                <w:rFonts w:ascii="Arial" w:hAnsi="Arial" w:cs="Arial"/>
                <w:sz w:val="18"/>
                <w:szCs w:val="18"/>
              </w:rPr>
              <w:t>that may change the nature of the situation</w:t>
            </w:r>
            <w:r w:rsidR="007B315E" w:rsidRPr="00474E6F">
              <w:rPr>
                <w:rFonts w:ascii="Arial" w:hAnsi="Arial" w:cs="Arial"/>
                <w:sz w:val="18"/>
                <w:szCs w:val="18"/>
              </w:rPr>
              <w:t>.</w:t>
            </w:r>
            <w:r w:rsidR="008874F5" w:rsidRPr="00474E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F1C1D" w:rsidRPr="00474E6F">
              <w:rPr>
                <w:rFonts w:ascii="Arial" w:hAnsi="Arial" w:cs="Arial"/>
                <w:sz w:val="18"/>
                <w:szCs w:val="18"/>
              </w:rPr>
              <w:t>Leverages multiple appropriate theoretical frameworks.</w:t>
            </w:r>
          </w:p>
        </w:tc>
        <w:tc>
          <w:tcPr>
            <w:tcW w:w="720" w:type="dxa"/>
          </w:tcPr>
          <w:p w:rsidR="007B315E" w:rsidRPr="00474E6F" w:rsidRDefault="007B315E" w:rsidP="007B31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7F3" w:rsidRPr="00474E6F" w:rsidTr="00D65468">
        <w:tc>
          <w:tcPr>
            <w:tcW w:w="2070" w:type="dxa"/>
          </w:tcPr>
          <w:p w:rsidR="004217F3" w:rsidRPr="00474E6F" w:rsidRDefault="001F1C1D" w:rsidP="007B31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>Identifies</w:t>
            </w:r>
            <w:r w:rsidR="004217F3" w:rsidRPr="00474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4E6F">
              <w:rPr>
                <w:rFonts w:ascii="Arial" w:hAnsi="Arial" w:cs="Arial"/>
                <w:b/>
                <w:sz w:val="18"/>
                <w:szCs w:val="18"/>
              </w:rPr>
              <w:t xml:space="preserve">and Evaluates </w:t>
            </w:r>
            <w:r w:rsidR="004217F3" w:rsidRPr="00474E6F">
              <w:rPr>
                <w:rFonts w:ascii="Arial" w:hAnsi="Arial" w:cs="Arial"/>
                <w:b/>
                <w:sz w:val="18"/>
                <w:szCs w:val="18"/>
              </w:rPr>
              <w:t xml:space="preserve">Alternatives </w:t>
            </w:r>
          </w:p>
          <w:p w:rsidR="004217F3" w:rsidRPr="00474E6F" w:rsidRDefault="004217F3" w:rsidP="007B31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4217F3" w:rsidRPr="00474E6F" w:rsidRDefault="004217F3" w:rsidP="007B315E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 xml:space="preserve">Shows little imagination with respect to identifying applicable alternative resolution approaches and/or to their </w:t>
            </w:r>
            <w:proofErr w:type="gramStart"/>
            <w:r w:rsidRPr="00474E6F">
              <w:rPr>
                <w:rFonts w:ascii="Arial" w:hAnsi="Arial" w:cs="Arial"/>
                <w:sz w:val="18"/>
                <w:szCs w:val="18"/>
              </w:rPr>
              <w:t>pro’s</w:t>
            </w:r>
            <w:proofErr w:type="gramEnd"/>
            <w:r w:rsidRPr="00474E6F">
              <w:rPr>
                <w:rFonts w:ascii="Arial" w:hAnsi="Arial" w:cs="Arial"/>
                <w:sz w:val="18"/>
                <w:szCs w:val="18"/>
              </w:rPr>
              <w:t>, con’s and consequences.</w:t>
            </w:r>
          </w:p>
          <w:p w:rsidR="004217F3" w:rsidRPr="00474E6F" w:rsidRDefault="004217F3" w:rsidP="007B31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4217F3" w:rsidRPr="00474E6F" w:rsidRDefault="004217F3" w:rsidP="00D65468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Shows some imagination in identifying at least two practical alternative problem resolution approaches and assesses their associ</w:t>
            </w:r>
            <w:r w:rsidR="00D65468" w:rsidRPr="00474E6F">
              <w:rPr>
                <w:rFonts w:ascii="Arial" w:hAnsi="Arial" w:cs="Arial"/>
                <w:sz w:val="18"/>
                <w:szCs w:val="18"/>
              </w:rPr>
              <w:t xml:space="preserve">ated </w:t>
            </w:r>
            <w:proofErr w:type="gramStart"/>
            <w:r w:rsidR="00D65468" w:rsidRPr="00474E6F">
              <w:rPr>
                <w:rFonts w:ascii="Arial" w:hAnsi="Arial" w:cs="Arial"/>
                <w:sz w:val="18"/>
                <w:szCs w:val="18"/>
              </w:rPr>
              <w:t>pro’s</w:t>
            </w:r>
            <w:proofErr w:type="gramEnd"/>
            <w:r w:rsidR="00D65468" w:rsidRPr="00474E6F">
              <w:rPr>
                <w:rFonts w:ascii="Arial" w:hAnsi="Arial" w:cs="Arial"/>
                <w:sz w:val="18"/>
                <w:szCs w:val="18"/>
              </w:rPr>
              <w:t>, con’s and c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onsequences/outcomes.  </w:t>
            </w:r>
          </w:p>
        </w:tc>
        <w:tc>
          <w:tcPr>
            <w:tcW w:w="3132" w:type="dxa"/>
          </w:tcPr>
          <w:p w:rsidR="004217F3" w:rsidRPr="00474E6F" w:rsidRDefault="004217F3" w:rsidP="004217F3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 xml:space="preserve">Thoughtfully and creatively crafts a range of practical alternative resolution approaches and assesses, in detail, their pro’s, </w:t>
            </w:r>
            <w:proofErr w:type="gramStart"/>
            <w:r w:rsidRPr="00474E6F">
              <w:rPr>
                <w:rFonts w:ascii="Arial" w:hAnsi="Arial" w:cs="Arial"/>
                <w:sz w:val="18"/>
                <w:szCs w:val="18"/>
              </w:rPr>
              <w:t>con’s</w:t>
            </w:r>
            <w:proofErr w:type="gramEnd"/>
            <w:r w:rsidRPr="00474E6F">
              <w:rPr>
                <w:rFonts w:ascii="Arial" w:hAnsi="Arial" w:cs="Arial"/>
                <w:sz w:val="18"/>
                <w:szCs w:val="18"/>
              </w:rPr>
              <w:t xml:space="preserve">, outcomes, and relative effectiveness in resolving the problem issue. </w:t>
            </w:r>
          </w:p>
        </w:tc>
        <w:tc>
          <w:tcPr>
            <w:tcW w:w="720" w:type="dxa"/>
          </w:tcPr>
          <w:p w:rsidR="004217F3" w:rsidRPr="00474E6F" w:rsidRDefault="004217F3" w:rsidP="007B31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4F5" w:rsidRPr="00474E6F" w:rsidTr="00D65468">
        <w:tc>
          <w:tcPr>
            <w:tcW w:w="2070" w:type="dxa"/>
          </w:tcPr>
          <w:p w:rsidR="008874F5" w:rsidRPr="00474E6F" w:rsidRDefault="008874F5" w:rsidP="008874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>Chooses an Action</w:t>
            </w:r>
            <w:r w:rsidR="001F1C1D" w:rsidRPr="00474E6F">
              <w:rPr>
                <w:rFonts w:ascii="Arial" w:hAnsi="Arial" w:cs="Arial"/>
                <w:b/>
                <w:sz w:val="18"/>
                <w:szCs w:val="18"/>
              </w:rPr>
              <w:t>/Recommendation</w:t>
            </w:r>
          </w:p>
          <w:p w:rsidR="008874F5" w:rsidRPr="00474E6F" w:rsidRDefault="008874F5" w:rsidP="008874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8874F5" w:rsidRPr="00474E6F" w:rsidRDefault="008874F5" w:rsidP="0004353D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 xml:space="preserve">Has difficulty identifying and justifying an appropriate resolution approach from among posed alternatives.  </w:t>
            </w:r>
          </w:p>
        </w:tc>
        <w:tc>
          <w:tcPr>
            <w:tcW w:w="2520" w:type="dxa"/>
          </w:tcPr>
          <w:p w:rsidR="008874F5" w:rsidRPr="00474E6F" w:rsidRDefault="008874F5" w:rsidP="0004353D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Selects and justifies a feasible</w:t>
            </w:r>
            <w:r w:rsidR="002E461D" w:rsidRPr="00474E6F">
              <w:rPr>
                <w:rFonts w:ascii="Arial" w:hAnsi="Arial" w:cs="Arial"/>
                <w:sz w:val="18"/>
                <w:szCs w:val="18"/>
              </w:rPr>
              <w:t>, contextually appropriate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 resolution approach from among the posed alternatives</w:t>
            </w:r>
            <w:r w:rsidR="0004353D" w:rsidRPr="00474E6F">
              <w:rPr>
                <w:rFonts w:ascii="Arial" w:hAnsi="Arial" w:cs="Arial"/>
                <w:sz w:val="18"/>
                <w:szCs w:val="18"/>
              </w:rPr>
              <w:t>. Identifies reasonably expected outcomes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132" w:type="dxa"/>
          </w:tcPr>
          <w:p w:rsidR="008874F5" w:rsidRPr="00474E6F" w:rsidRDefault="008874F5" w:rsidP="00CF0719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 xml:space="preserve">Clearly and compellingly advocates for a highly viable and </w:t>
            </w:r>
            <w:r w:rsidR="00DC7055" w:rsidRPr="00474E6F">
              <w:rPr>
                <w:rFonts w:ascii="Arial" w:hAnsi="Arial" w:cs="Arial"/>
                <w:sz w:val="18"/>
                <w:szCs w:val="18"/>
              </w:rPr>
              <w:t>values-based/ethical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 resolution approach</w:t>
            </w:r>
            <w:r w:rsidR="002E461D" w:rsidRPr="00474E6F">
              <w:rPr>
                <w:rFonts w:ascii="Arial" w:hAnsi="Arial" w:cs="Arial"/>
                <w:sz w:val="18"/>
                <w:szCs w:val="18"/>
              </w:rPr>
              <w:t xml:space="preserve"> befitting the context</w:t>
            </w:r>
            <w:r w:rsidR="004217F3" w:rsidRPr="00474E6F">
              <w:rPr>
                <w:rFonts w:ascii="Arial" w:hAnsi="Arial" w:cs="Arial"/>
                <w:sz w:val="18"/>
                <w:szCs w:val="18"/>
              </w:rPr>
              <w:t xml:space="preserve"> and fully leveraging resources and available technologies</w:t>
            </w:r>
            <w:r w:rsidRPr="00474E6F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04353D" w:rsidRPr="00474E6F">
              <w:rPr>
                <w:rFonts w:ascii="Arial" w:hAnsi="Arial" w:cs="Arial"/>
                <w:sz w:val="18"/>
                <w:szCs w:val="18"/>
              </w:rPr>
              <w:t xml:space="preserve">Identifies, in detail, </w:t>
            </w:r>
            <w:r w:rsidR="00CF0719" w:rsidRPr="00474E6F">
              <w:rPr>
                <w:rFonts w:ascii="Arial" w:hAnsi="Arial" w:cs="Arial"/>
                <w:sz w:val="18"/>
                <w:szCs w:val="18"/>
              </w:rPr>
              <w:t xml:space="preserve">the metrics of success and realistic expected </w:t>
            </w:r>
            <w:r w:rsidR="0004353D" w:rsidRPr="00474E6F">
              <w:rPr>
                <w:rFonts w:ascii="Arial" w:hAnsi="Arial" w:cs="Arial"/>
                <w:sz w:val="18"/>
                <w:szCs w:val="18"/>
              </w:rPr>
              <w:t>outcomes given the dynamics of the situation.</w:t>
            </w:r>
          </w:p>
        </w:tc>
        <w:tc>
          <w:tcPr>
            <w:tcW w:w="720" w:type="dxa"/>
          </w:tcPr>
          <w:p w:rsidR="008874F5" w:rsidRPr="00474E6F" w:rsidRDefault="008874F5" w:rsidP="008874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15E" w:rsidRPr="00474E6F" w:rsidTr="00D65468">
        <w:tc>
          <w:tcPr>
            <w:tcW w:w="2070" w:type="dxa"/>
          </w:tcPr>
          <w:p w:rsidR="007B315E" w:rsidRPr="00474E6F" w:rsidRDefault="008874F5" w:rsidP="007B31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>Plans for Implementing</w:t>
            </w:r>
          </w:p>
          <w:p w:rsidR="007B315E" w:rsidRPr="00474E6F" w:rsidRDefault="007B315E" w:rsidP="007B31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7B315E" w:rsidRPr="00474E6F" w:rsidRDefault="0004353D" w:rsidP="0004353D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Fails to plan for implementation. Fails to address change management issues. Fails to address risks associated with uncertainties in the situation.</w:t>
            </w:r>
          </w:p>
        </w:tc>
        <w:tc>
          <w:tcPr>
            <w:tcW w:w="2520" w:type="dxa"/>
          </w:tcPr>
          <w:p w:rsidR="007B315E" w:rsidRPr="00474E6F" w:rsidRDefault="008874F5" w:rsidP="00DD0767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Formulates an implementation plan</w:t>
            </w:r>
            <w:r w:rsidR="00DD0767" w:rsidRPr="00474E6F">
              <w:rPr>
                <w:rFonts w:ascii="Arial" w:hAnsi="Arial" w:cs="Arial"/>
                <w:sz w:val="18"/>
                <w:szCs w:val="18"/>
              </w:rPr>
              <w:t xml:space="preserve"> that is sensitive to change management issues</w:t>
            </w:r>
            <w:r w:rsidR="004217F3" w:rsidRPr="00474E6F">
              <w:rPr>
                <w:rFonts w:ascii="Arial" w:hAnsi="Arial" w:cs="Arial"/>
                <w:sz w:val="18"/>
                <w:szCs w:val="18"/>
              </w:rPr>
              <w:t xml:space="preserve"> and identifies contingencies and risks</w:t>
            </w:r>
            <w:r w:rsidR="00DD0767" w:rsidRPr="00474E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32" w:type="dxa"/>
          </w:tcPr>
          <w:p w:rsidR="007B315E" w:rsidRPr="00474E6F" w:rsidRDefault="002E461D" w:rsidP="004217F3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Demonstrates creativity in formulating</w:t>
            </w:r>
            <w:r w:rsidR="0004353D" w:rsidRPr="00474E6F">
              <w:rPr>
                <w:rFonts w:ascii="Arial" w:hAnsi="Arial" w:cs="Arial"/>
                <w:sz w:val="18"/>
                <w:szCs w:val="18"/>
              </w:rPr>
              <w:t xml:space="preserve"> a well developed and viable plan of implementation that </w:t>
            </w:r>
            <w:r w:rsidR="00DD0767" w:rsidRPr="00474E6F">
              <w:rPr>
                <w:rFonts w:ascii="Arial" w:hAnsi="Arial" w:cs="Arial"/>
                <w:sz w:val="18"/>
                <w:szCs w:val="18"/>
              </w:rPr>
              <w:t>is sensitive to change management issues</w:t>
            </w:r>
            <w:r w:rsidR="00DA6BA7" w:rsidRPr="00474E6F">
              <w:rPr>
                <w:rFonts w:ascii="Arial" w:hAnsi="Arial" w:cs="Arial"/>
                <w:sz w:val="18"/>
                <w:szCs w:val="18"/>
              </w:rPr>
              <w:t xml:space="preserve"> &amp; “buy-in”</w:t>
            </w:r>
            <w:r w:rsidR="004217F3" w:rsidRPr="00474E6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D0767" w:rsidRPr="00474E6F">
              <w:rPr>
                <w:rFonts w:ascii="Arial" w:hAnsi="Arial" w:cs="Arial"/>
                <w:sz w:val="18"/>
                <w:szCs w:val="18"/>
              </w:rPr>
              <w:t>fully</w:t>
            </w:r>
            <w:r w:rsidR="004217F3" w:rsidRPr="00474E6F">
              <w:rPr>
                <w:rFonts w:ascii="Arial" w:hAnsi="Arial" w:cs="Arial"/>
                <w:sz w:val="18"/>
                <w:szCs w:val="18"/>
              </w:rPr>
              <w:t xml:space="preserve"> addressing</w:t>
            </w:r>
            <w:r w:rsidR="0004353D" w:rsidRPr="00474E6F">
              <w:rPr>
                <w:rFonts w:ascii="Arial" w:hAnsi="Arial" w:cs="Arial"/>
                <w:sz w:val="18"/>
                <w:szCs w:val="18"/>
              </w:rPr>
              <w:t xml:space="preserve"> the risks associated with uncertainties in the situation</w:t>
            </w:r>
            <w:r w:rsidR="004217F3" w:rsidRPr="00474E6F">
              <w:rPr>
                <w:rFonts w:ascii="Arial" w:hAnsi="Arial" w:cs="Arial"/>
                <w:sz w:val="18"/>
                <w:szCs w:val="18"/>
              </w:rPr>
              <w:t xml:space="preserve"> and posing contingency plans</w:t>
            </w:r>
            <w:r w:rsidR="0004353D" w:rsidRPr="00474E6F">
              <w:rPr>
                <w:rFonts w:ascii="Arial" w:hAnsi="Arial" w:cs="Arial"/>
                <w:sz w:val="18"/>
                <w:szCs w:val="18"/>
              </w:rPr>
              <w:t>.</w:t>
            </w:r>
            <w:r w:rsidR="007B315E" w:rsidRPr="00474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719" w:rsidRPr="00474E6F">
              <w:rPr>
                <w:rFonts w:ascii="Arial" w:hAnsi="Arial" w:cs="Arial"/>
                <w:sz w:val="18"/>
                <w:szCs w:val="18"/>
              </w:rPr>
              <w:t xml:space="preserve">Identifies </w:t>
            </w:r>
            <w:r w:rsidR="003C6C48" w:rsidRPr="00474E6F">
              <w:rPr>
                <w:rFonts w:ascii="Arial" w:hAnsi="Arial" w:cs="Arial"/>
                <w:sz w:val="18"/>
                <w:szCs w:val="18"/>
              </w:rPr>
              <w:t>metrics</w:t>
            </w:r>
            <w:r w:rsidR="00CF0719" w:rsidRPr="00474E6F">
              <w:rPr>
                <w:rFonts w:ascii="Arial" w:hAnsi="Arial" w:cs="Arial"/>
                <w:sz w:val="18"/>
                <w:szCs w:val="18"/>
              </w:rPr>
              <w:t xml:space="preserve"> of successful implementation.</w:t>
            </w:r>
          </w:p>
        </w:tc>
        <w:tc>
          <w:tcPr>
            <w:tcW w:w="720" w:type="dxa"/>
          </w:tcPr>
          <w:p w:rsidR="007B315E" w:rsidRPr="00474E6F" w:rsidRDefault="007B315E" w:rsidP="007B31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468" w:rsidRPr="00474E6F" w:rsidTr="00D65468">
        <w:tc>
          <w:tcPr>
            <w:tcW w:w="2070" w:type="dxa"/>
          </w:tcPr>
          <w:p w:rsidR="00D65468" w:rsidRPr="00474E6F" w:rsidRDefault="00D65468" w:rsidP="005667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 xml:space="preserve">Demonstrates relevant subject matter mastery </w:t>
            </w:r>
          </w:p>
        </w:tc>
        <w:tc>
          <w:tcPr>
            <w:tcW w:w="2700" w:type="dxa"/>
          </w:tcPr>
          <w:p w:rsidR="00D65468" w:rsidRPr="00474E6F" w:rsidRDefault="00D65468" w:rsidP="005667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Fails to demonstrate mastery of relevant subject matter/disciplinary knowledge.</w:t>
            </w:r>
          </w:p>
        </w:tc>
        <w:tc>
          <w:tcPr>
            <w:tcW w:w="2520" w:type="dxa"/>
          </w:tcPr>
          <w:p w:rsidR="00D65468" w:rsidRPr="00474E6F" w:rsidRDefault="00D65468" w:rsidP="005667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 xml:space="preserve">Demonstrates sufficient mastery of relevant subject matter/disciplinary knowledge. </w:t>
            </w:r>
          </w:p>
        </w:tc>
        <w:tc>
          <w:tcPr>
            <w:tcW w:w="3132" w:type="dxa"/>
          </w:tcPr>
          <w:p w:rsidR="00D65468" w:rsidRPr="00474E6F" w:rsidRDefault="00D65468" w:rsidP="005667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Demonstrates excellent mastery of relevant subject matter/disciplinary knowledge.</w:t>
            </w:r>
          </w:p>
        </w:tc>
        <w:tc>
          <w:tcPr>
            <w:tcW w:w="720" w:type="dxa"/>
          </w:tcPr>
          <w:p w:rsidR="00D65468" w:rsidRPr="00474E6F" w:rsidRDefault="00D65468" w:rsidP="005667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FBB" w:rsidRPr="00474E6F" w:rsidTr="00F174B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B" w:rsidRPr="00474E6F" w:rsidRDefault="00D86FBB" w:rsidP="00D86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 xml:space="preserve">Demonstrates ability to think and act strategically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B" w:rsidRPr="00474E6F" w:rsidRDefault="00D86FBB" w:rsidP="00D86FBB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Fails to demonstrate ability to think and act strategically; fails to connect strategies with goals that leverage resources in the face of uncertainties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B" w:rsidRPr="00474E6F" w:rsidRDefault="00D86FBB" w:rsidP="00D86FBB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Demonstrates sufficient ability to think and act strategically; connects strategies with goals that leverage resources in the face of the most important uncertainties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B" w:rsidRPr="00474E6F" w:rsidRDefault="00D86FBB" w:rsidP="00D86FBB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Demonstrates nuanced, multi-perspectival, critical strategic thinking and action planning; connects strategies with goals that leverage resources in the face of uncertainties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B" w:rsidRPr="00474E6F" w:rsidRDefault="00D86FBB" w:rsidP="00F174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59B" w:rsidRPr="00474E6F" w:rsidTr="00D6546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B" w:rsidRPr="00474E6F" w:rsidRDefault="0027359B" w:rsidP="002735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4E6F">
              <w:rPr>
                <w:rFonts w:ascii="Arial" w:hAnsi="Arial" w:cs="Arial"/>
                <w:b/>
                <w:sz w:val="18"/>
                <w:szCs w:val="18"/>
              </w:rPr>
              <w:t xml:space="preserve">Demonstrates critical-thinking skill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B" w:rsidRPr="00474E6F" w:rsidRDefault="0027359B" w:rsidP="0027359B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Fails to demonstrate critical thinking (does not evaluate information quality and relevance; does not consider logic flow and coherence).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B" w:rsidRPr="00474E6F" w:rsidRDefault="0027359B" w:rsidP="0027359B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 xml:space="preserve">Demonstrates sufficient mastery of critical thinking (evaluates information quality/relevance; evaluates logic,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B" w:rsidRPr="00474E6F" w:rsidRDefault="0027359B" w:rsidP="0027359B">
            <w:pPr>
              <w:rPr>
                <w:rFonts w:ascii="Arial" w:hAnsi="Arial" w:cs="Arial"/>
                <w:sz w:val="18"/>
                <w:szCs w:val="18"/>
              </w:rPr>
            </w:pPr>
            <w:r w:rsidRPr="00474E6F">
              <w:rPr>
                <w:rFonts w:ascii="Arial" w:hAnsi="Arial" w:cs="Arial"/>
                <w:sz w:val="18"/>
                <w:szCs w:val="18"/>
              </w:rPr>
              <w:t>Demonstrates excellence in critical thinking (evaluates information quality and relevance; identifies and makes reasonable effort to obtain necessary additional information; considers logic flow and coherence)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B" w:rsidRPr="00474E6F" w:rsidRDefault="0027359B" w:rsidP="00273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3D8" w:rsidRPr="00474E6F" w:rsidRDefault="00D333D8" w:rsidP="006F11C4">
      <w:pPr>
        <w:rPr>
          <w:rFonts w:ascii="Arial" w:hAnsi="Arial" w:cs="Arial"/>
          <w:sz w:val="18"/>
          <w:szCs w:val="18"/>
        </w:rPr>
      </w:pPr>
    </w:p>
    <w:sectPr w:rsidR="00D333D8" w:rsidRPr="00474E6F" w:rsidSect="00AD7854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7A89"/>
    <w:rsid w:val="00012B69"/>
    <w:rsid w:val="0004353D"/>
    <w:rsid w:val="0008069C"/>
    <w:rsid w:val="000C1D6F"/>
    <w:rsid w:val="000F438D"/>
    <w:rsid w:val="001F1C1D"/>
    <w:rsid w:val="00207A89"/>
    <w:rsid w:val="0027359B"/>
    <w:rsid w:val="00294D0E"/>
    <w:rsid w:val="002D2C78"/>
    <w:rsid w:val="002E461D"/>
    <w:rsid w:val="002E4964"/>
    <w:rsid w:val="003177AD"/>
    <w:rsid w:val="00383B35"/>
    <w:rsid w:val="003C6C48"/>
    <w:rsid w:val="003E46D9"/>
    <w:rsid w:val="004217F3"/>
    <w:rsid w:val="0043174F"/>
    <w:rsid w:val="00466978"/>
    <w:rsid w:val="00474E6F"/>
    <w:rsid w:val="004F6B95"/>
    <w:rsid w:val="005412D2"/>
    <w:rsid w:val="00655218"/>
    <w:rsid w:val="0068010B"/>
    <w:rsid w:val="006D3EF8"/>
    <w:rsid w:val="006F11C4"/>
    <w:rsid w:val="007B315E"/>
    <w:rsid w:val="008122D3"/>
    <w:rsid w:val="008145BE"/>
    <w:rsid w:val="00814F42"/>
    <w:rsid w:val="00820CF4"/>
    <w:rsid w:val="00821615"/>
    <w:rsid w:val="00842F69"/>
    <w:rsid w:val="008874F5"/>
    <w:rsid w:val="0089227E"/>
    <w:rsid w:val="008C4C6E"/>
    <w:rsid w:val="00994E90"/>
    <w:rsid w:val="00A92F99"/>
    <w:rsid w:val="00AD7854"/>
    <w:rsid w:val="00C64F8E"/>
    <w:rsid w:val="00C77EFB"/>
    <w:rsid w:val="00CF0719"/>
    <w:rsid w:val="00D333D8"/>
    <w:rsid w:val="00D65468"/>
    <w:rsid w:val="00D86FBB"/>
    <w:rsid w:val="00DA6BA7"/>
    <w:rsid w:val="00DC7055"/>
    <w:rsid w:val="00DD0767"/>
    <w:rsid w:val="00E15C04"/>
    <w:rsid w:val="00F12AA6"/>
    <w:rsid w:val="00F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6A2E"/>
  <w15:docId w15:val="{69E88D08-76FD-438C-91E8-ED27C463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D0E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L. Karns</dc:creator>
  <cp:lastModifiedBy>Karns, Gary</cp:lastModifiedBy>
  <cp:revision>26</cp:revision>
  <cp:lastPrinted>2017-01-24T15:30:00Z</cp:lastPrinted>
  <dcterms:created xsi:type="dcterms:W3CDTF">2010-04-27T18:18:00Z</dcterms:created>
  <dcterms:modified xsi:type="dcterms:W3CDTF">2017-09-18T19:35:00Z</dcterms:modified>
</cp:coreProperties>
</file>